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4924"/>
        <w:gridCol w:w="1030"/>
      </w:tblGrid>
      <w:tr w:rsidR="00590C6D" w:rsidTr="008417D7">
        <w:tc>
          <w:tcPr>
            <w:tcW w:w="10598" w:type="dxa"/>
            <w:gridSpan w:val="3"/>
            <w:shd w:val="clear" w:color="auto" w:fill="DAEEF3" w:themeFill="accent5" w:themeFillTint="33"/>
          </w:tcPr>
          <w:p w:rsidR="00590C6D" w:rsidRPr="00300228" w:rsidRDefault="0085307F" w:rsidP="008530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Classi terze Secondaria: </w:t>
            </w:r>
            <w:r w:rsidRPr="0085307F">
              <w:rPr>
                <w:b/>
                <w:bCs/>
              </w:rPr>
              <w:t xml:space="preserve">RUBRICA DI VALUTAZIONE PER L’ATTRIBUZIONE DELLA VALUTAZIONE IN </w:t>
            </w:r>
            <w:r w:rsidR="00862956">
              <w:rPr>
                <w:b/>
                <w:bCs/>
              </w:rPr>
              <w:t>DECIMI</w:t>
            </w:r>
            <w:r w:rsidRPr="0085307F">
              <w:rPr>
                <w:b/>
                <w:bCs/>
              </w:rPr>
              <w:t xml:space="preserve"> AL PERCORSO TRIENNALE</w:t>
            </w:r>
            <w:r>
              <w:rPr>
                <w:b/>
                <w:bCs/>
              </w:rPr>
              <w:t xml:space="preserve"> </w:t>
            </w:r>
            <w:r w:rsidR="00A503C9">
              <w:rPr>
                <w:b/>
                <w:bCs/>
              </w:rPr>
              <w:t xml:space="preserve"> </w:t>
            </w:r>
            <w:r w:rsidR="00590C6D">
              <w:br/>
            </w:r>
            <w:r w:rsidR="00590C6D" w:rsidRPr="00300228">
              <w:rPr>
                <w:b/>
                <w:bCs/>
              </w:rPr>
              <w:t xml:space="preserve">Considerando il percorso triennale “in divenire” e quanto posto in essere dal Consiglio di Classe per </w:t>
            </w:r>
            <w:r w:rsidR="0012791F">
              <w:rPr>
                <w:b/>
                <w:bCs/>
              </w:rPr>
              <w:t>favorire il successo formativo,</w:t>
            </w:r>
            <w:r w:rsidR="00590C6D" w:rsidRPr="00300228">
              <w:rPr>
                <w:b/>
                <w:bCs/>
              </w:rPr>
              <w:t xml:space="preserve"> anche </w:t>
            </w:r>
            <w:r w:rsidR="0012791F">
              <w:rPr>
                <w:b/>
                <w:bCs/>
              </w:rPr>
              <w:t xml:space="preserve">attraverso eventuali ed </w:t>
            </w:r>
            <w:r w:rsidR="00590C6D" w:rsidRPr="00300228">
              <w:rPr>
                <w:b/>
                <w:bCs/>
              </w:rPr>
              <w:t>opportun</w:t>
            </w:r>
            <w:r w:rsidR="0012791F">
              <w:rPr>
                <w:b/>
                <w:bCs/>
              </w:rPr>
              <w:t xml:space="preserve">i strumenti come </w:t>
            </w:r>
            <w:r w:rsidR="00590C6D" w:rsidRPr="00300228">
              <w:rPr>
                <w:b/>
                <w:bCs/>
              </w:rPr>
              <w:t>P.D.P., P.E.I., iniziative di recupero, comunicazione con la famiglia ecc., l’alunno/a ha mostrato:</w:t>
            </w:r>
          </w:p>
        </w:tc>
      </w:tr>
      <w:tr w:rsidR="00590C6D" w:rsidTr="008417D7">
        <w:tc>
          <w:tcPr>
            <w:tcW w:w="4644" w:type="dxa"/>
            <w:vMerge w:val="restart"/>
          </w:tcPr>
          <w:p w:rsidR="00590C6D" w:rsidRPr="00590C6D" w:rsidRDefault="00590C6D" w:rsidP="006251E9">
            <w:pPr>
              <w:rPr>
                <w:b/>
                <w:bCs/>
                <w:sz w:val="24"/>
                <w:szCs w:val="24"/>
              </w:rPr>
            </w:pPr>
            <w:r w:rsidRPr="00590C6D">
              <w:rPr>
                <w:b/>
                <w:bCs/>
                <w:sz w:val="24"/>
                <w:szCs w:val="24"/>
              </w:rPr>
              <w:t>A</w:t>
            </w:r>
          </w:p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  <w:p w:rsidR="008417D7" w:rsidRDefault="00590C6D" w:rsidP="006251E9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>Rendimento scolastico  (valutazioni generalmente conseguite)</w:t>
            </w:r>
          </w:p>
          <w:p w:rsidR="00590C6D" w:rsidRPr="00590C6D" w:rsidRDefault="00590C6D" w:rsidP="006251E9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>50%</w:t>
            </w: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in decremento: attualmente insufficiente o scarsamente sufficiente 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in decremento: attualmente sufficiente   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su livello scarsamente sufficiente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su livello sufficiente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attualmente discreto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7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su livello buono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su livello ottimo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10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in miglioramento: attualmente sufficiente 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25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attualmente discreto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7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attualmente buono</w:t>
            </w:r>
          </w:p>
        </w:tc>
        <w:tc>
          <w:tcPr>
            <w:tcW w:w="1030" w:type="dxa"/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</w:p>
        </w:tc>
      </w:tr>
      <w:tr w:rsidR="00590C6D" w:rsidTr="008417D7">
        <w:tc>
          <w:tcPr>
            <w:tcW w:w="4644" w:type="dxa"/>
            <w:vMerge/>
            <w:tcBorders>
              <w:bottom w:val="single" w:sz="12" w:space="0" w:color="auto"/>
            </w:tcBorders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bottom w:val="single" w:sz="12" w:space="0" w:color="auto"/>
            </w:tcBorders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attualmente ottimo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FEF6D8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9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 w:val="restart"/>
            <w:tcBorders>
              <w:top w:val="single" w:sz="12" w:space="0" w:color="auto"/>
            </w:tcBorders>
          </w:tcPr>
          <w:p w:rsidR="00590C6D" w:rsidRPr="00590C6D" w:rsidRDefault="00590C6D" w:rsidP="006251E9">
            <w:pPr>
              <w:rPr>
                <w:b/>
                <w:bCs/>
                <w:sz w:val="24"/>
                <w:szCs w:val="24"/>
              </w:rPr>
            </w:pPr>
            <w:r w:rsidRPr="00590C6D">
              <w:rPr>
                <w:b/>
                <w:bCs/>
                <w:sz w:val="24"/>
                <w:szCs w:val="24"/>
              </w:rPr>
              <w:t>B</w:t>
            </w:r>
          </w:p>
          <w:p w:rsidR="008417D7" w:rsidRDefault="00590C6D" w:rsidP="006251E9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br/>
              <w:t xml:space="preserve">Impegno e partecipazione (puntualità nelle consegne, interesse manifestato, </w:t>
            </w:r>
            <w:r w:rsidR="00747AB1">
              <w:rPr>
                <w:sz w:val="24"/>
                <w:szCs w:val="24"/>
              </w:rPr>
              <w:t>iniziativa</w:t>
            </w:r>
            <w:r w:rsidRPr="00590C6D">
              <w:rPr>
                <w:sz w:val="24"/>
                <w:szCs w:val="24"/>
              </w:rPr>
              <w:t xml:space="preserve"> di approfondimento personale)  </w:t>
            </w:r>
          </w:p>
          <w:p w:rsidR="00590C6D" w:rsidRPr="00590C6D" w:rsidRDefault="00590C6D" w:rsidP="006251E9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>20%</w:t>
            </w:r>
          </w:p>
        </w:tc>
        <w:tc>
          <w:tcPr>
            <w:tcW w:w="492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in decremento: di livello insufficiente rispetto a quanto richiesto 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decremento: si attesta su un livello comunque sufficiente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</w:t>
            </w:r>
            <w:r w:rsidR="00900DC8">
              <w:rPr>
                <w:sz w:val="20"/>
                <w:szCs w:val="20"/>
              </w:rPr>
              <w:t>i</w:t>
            </w:r>
            <w:r w:rsidRPr="00E971E8">
              <w:rPr>
                <w:sz w:val="20"/>
                <w:szCs w:val="20"/>
              </w:rPr>
              <w:t xml:space="preserve"> su livello scarsamente sufficiente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stabili: di livello sufficiente 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7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stabili: di buon livello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stabili ed eccellenti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10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migliormento: raggiunto un livello sufficiente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raggiunto un livello buono</w:t>
            </w:r>
          </w:p>
        </w:tc>
        <w:tc>
          <w:tcPr>
            <w:tcW w:w="1030" w:type="dxa"/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</w:p>
        </w:tc>
      </w:tr>
      <w:tr w:rsidR="00590C6D" w:rsidTr="008417D7">
        <w:tc>
          <w:tcPr>
            <w:tcW w:w="4644" w:type="dxa"/>
            <w:vMerge/>
            <w:tcBorders>
              <w:bottom w:val="single" w:sz="12" w:space="0" w:color="auto"/>
            </w:tcBorders>
          </w:tcPr>
          <w:p w:rsidR="00590C6D" w:rsidRPr="00590C6D" w:rsidRDefault="00590C6D" w:rsidP="006251E9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raggiunto un ottimo livello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90C6D" w:rsidRPr="00E971E8" w:rsidRDefault="00590C6D" w:rsidP="006251E9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9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 w:val="restart"/>
            <w:tcBorders>
              <w:top w:val="single" w:sz="12" w:space="0" w:color="auto"/>
            </w:tcBorders>
          </w:tcPr>
          <w:p w:rsidR="00590C6D" w:rsidRPr="00590C6D" w:rsidRDefault="00590C6D" w:rsidP="00BC495C">
            <w:pPr>
              <w:rPr>
                <w:b/>
                <w:bCs/>
                <w:sz w:val="24"/>
                <w:szCs w:val="24"/>
              </w:rPr>
            </w:pPr>
            <w:r w:rsidRPr="00590C6D">
              <w:rPr>
                <w:b/>
                <w:bCs/>
                <w:sz w:val="24"/>
                <w:szCs w:val="24"/>
              </w:rPr>
              <w:t>C</w:t>
            </w:r>
          </w:p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  <w:p w:rsidR="008417D7" w:rsidRDefault="00590C6D" w:rsidP="00BC495C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>Collaborazione e propositività mostrat</w:t>
            </w:r>
            <w:r w:rsidR="00747AB1">
              <w:rPr>
                <w:sz w:val="24"/>
                <w:szCs w:val="24"/>
              </w:rPr>
              <w:t>e</w:t>
            </w:r>
            <w:r w:rsidRPr="00590C6D">
              <w:rPr>
                <w:sz w:val="24"/>
                <w:szCs w:val="24"/>
              </w:rPr>
              <w:t xml:space="preserve"> nel gruppo classe e nelle attività di gruppo</w:t>
            </w:r>
          </w:p>
          <w:p w:rsidR="00590C6D" w:rsidRPr="00590C6D" w:rsidRDefault="00590C6D" w:rsidP="00BC495C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 xml:space="preserve">15% </w:t>
            </w:r>
          </w:p>
        </w:tc>
        <w:tc>
          <w:tcPr>
            <w:tcW w:w="4924" w:type="dxa"/>
            <w:tcBorders>
              <w:top w:val="single" w:sz="12" w:space="0" w:color="auto"/>
            </w:tcBorders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in decremento: di livello insufficiente rispetto a quanto richiesto 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decremento: si attesta su un livello comunque sufficiente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su livello scarsamente sufficiente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stabili: di livello sufficiente 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7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stabili: di buon livello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stabili ed eccellenti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10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migliormento: raggiunto un livello sufficiente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raggiunto un livello buono</w:t>
            </w:r>
          </w:p>
        </w:tc>
        <w:tc>
          <w:tcPr>
            <w:tcW w:w="1030" w:type="dxa"/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</w:p>
        </w:tc>
      </w:tr>
      <w:tr w:rsidR="00590C6D" w:rsidTr="008417D7">
        <w:tc>
          <w:tcPr>
            <w:tcW w:w="4644" w:type="dxa"/>
            <w:vMerge/>
            <w:tcBorders>
              <w:bottom w:val="single" w:sz="12" w:space="0" w:color="auto"/>
            </w:tcBorders>
          </w:tcPr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bottom w:val="single" w:sz="12" w:space="0" w:color="auto"/>
            </w:tcBorders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raggiunto un ottimo livello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E2F4FA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9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 w:val="restart"/>
            <w:tcBorders>
              <w:top w:val="single" w:sz="12" w:space="0" w:color="auto"/>
            </w:tcBorders>
          </w:tcPr>
          <w:p w:rsidR="00590C6D" w:rsidRPr="00590C6D" w:rsidRDefault="00590C6D" w:rsidP="00BC495C">
            <w:pPr>
              <w:rPr>
                <w:b/>
                <w:bCs/>
                <w:sz w:val="24"/>
                <w:szCs w:val="24"/>
              </w:rPr>
            </w:pPr>
            <w:r w:rsidRPr="00590C6D">
              <w:rPr>
                <w:b/>
                <w:bCs/>
                <w:sz w:val="24"/>
                <w:szCs w:val="24"/>
              </w:rPr>
              <w:t xml:space="preserve">D  </w:t>
            </w:r>
          </w:p>
          <w:p w:rsidR="00590C6D" w:rsidRPr="00590C6D" w:rsidRDefault="00590C6D" w:rsidP="00BC495C">
            <w:pPr>
              <w:rPr>
                <w:sz w:val="24"/>
                <w:szCs w:val="24"/>
              </w:rPr>
            </w:pPr>
          </w:p>
          <w:p w:rsidR="008417D7" w:rsidRDefault="00590C6D" w:rsidP="00BC495C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>Grado di rispetto mostrato verso i pari e verso i docenti e adozione di uno stile comunicativo adeguato</w:t>
            </w:r>
            <w:bookmarkStart w:id="0" w:name="_GoBack"/>
            <w:bookmarkEnd w:id="0"/>
            <w:r w:rsidRPr="00590C6D">
              <w:rPr>
                <w:sz w:val="24"/>
                <w:szCs w:val="24"/>
              </w:rPr>
              <w:t xml:space="preserve">  </w:t>
            </w:r>
          </w:p>
          <w:p w:rsidR="00590C6D" w:rsidRPr="00590C6D" w:rsidRDefault="00590C6D" w:rsidP="00BC495C">
            <w:pPr>
              <w:rPr>
                <w:sz w:val="24"/>
                <w:szCs w:val="24"/>
              </w:rPr>
            </w:pPr>
            <w:r w:rsidRPr="00590C6D">
              <w:rPr>
                <w:sz w:val="24"/>
                <w:szCs w:val="24"/>
              </w:rPr>
              <w:t>15%</w:t>
            </w:r>
          </w:p>
        </w:tc>
        <w:tc>
          <w:tcPr>
            <w:tcW w:w="4924" w:type="dxa"/>
            <w:tcBorders>
              <w:top w:val="single" w:sz="12" w:space="0" w:color="auto"/>
            </w:tcBorders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in decremento: di livello insufficiente rispetto a quanto opportuno 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decremento: si attesta su un livello comunque sufficiente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su livello scarsamente sufficiente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 xml:space="preserve">stabile: di livello sufficiente 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7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stabile: di buon livello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stabile ed eccellente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10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migliormento: raggiunto un livello sufficiente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6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c>
          <w:tcPr>
            <w:tcW w:w="4644" w:type="dxa"/>
            <w:vMerge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raggiunto un livello buono</w:t>
            </w:r>
          </w:p>
        </w:tc>
        <w:tc>
          <w:tcPr>
            <w:tcW w:w="1030" w:type="dxa"/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8</w:t>
            </w:r>
          </w:p>
        </w:tc>
      </w:tr>
      <w:tr w:rsidR="00590C6D" w:rsidTr="008417D7">
        <w:tc>
          <w:tcPr>
            <w:tcW w:w="4644" w:type="dxa"/>
            <w:vMerge/>
            <w:tcBorders>
              <w:bottom w:val="single" w:sz="12" w:space="0" w:color="auto"/>
            </w:tcBorders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</w:p>
        </w:tc>
        <w:tc>
          <w:tcPr>
            <w:tcW w:w="4924" w:type="dxa"/>
            <w:tcBorders>
              <w:bottom w:val="single" w:sz="12" w:space="0" w:color="auto"/>
            </w:tcBorders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in miglioramento: raggiunto un ottimo livello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FDECE3"/>
          </w:tcPr>
          <w:p w:rsidR="00590C6D" w:rsidRPr="00E971E8" w:rsidRDefault="00590C6D" w:rsidP="00BC495C">
            <w:pPr>
              <w:rPr>
                <w:sz w:val="20"/>
                <w:szCs w:val="20"/>
              </w:rPr>
            </w:pPr>
            <w:r w:rsidRPr="00E971E8">
              <w:rPr>
                <w:sz w:val="20"/>
                <w:szCs w:val="20"/>
              </w:rPr>
              <w:t>9</w:t>
            </w:r>
            <w:r w:rsidR="004755F0">
              <w:rPr>
                <w:sz w:val="20"/>
                <w:szCs w:val="20"/>
              </w:rPr>
              <w:t>,</w:t>
            </w:r>
            <w:r w:rsidRPr="00E971E8">
              <w:rPr>
                <w:sz w:val="20"/>
                <w:szCs w:val="20"/>
              </w:rPr>
              <w:t>5</w:t>
            </w:r>
          </w:p>
        </w:tc>
      </w:tr>
      <w:tr w:rsidR="00590C6D" w:rsidTr="008417D7">
        <w:trPr>
          <w:trHeight w:val="547"/>
        </w:trPr>
        <w:tc>
          <w:tcPr>
            <w:tcW w:w="95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3C2"/>
          </w:tcPr>
          <w:p w:rsidR="00590C6D" w:rsidRPr="00300228" w:rsidRDefault="00590C6D" w:rsidP="00E36986">
            <w:pPr>
              <w:rPr>
                <w:b/>
                <w:bCs/>
              </w:rPr>
            </w:pPr>
            <w:r w:rsidRPr="00300228">
              <w:rPr>
                <w:b/>
                <w:bCs/>
                <w:sz w:val="28"/>
                <w:szCs w:val="28"/>
              </w:rPr>
              <w:t xml:space="preserve">VOTO </w:t>
            </w:r>
            <w:r w:rsidR="00D32B80">
              <w:rPr>
                <w:b/>
                <w:bCs/>
                <w:sz w:val="28"/>
                <w:szCs w:val="28"/>
              </w:rPr>
              <w:t>TRIENNIO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C6D" w:rsidRDefault="00590C6D" w:rsidP="00E36986"/>
        </w:tc>
      </w:tr>
    </w:tbl>
    <w:p w:rsidR="0085307F" w:rsidRDefault="0085307F" w:rsidP="0085307F"/>
    <w:p w:rsidR="0085307F" w:rsidRDefault="0085307F" w:rsidP="0085307F"/>
    <w:sectPr w:rsidR="0085307F" w:rsidSect="00300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6F6"/>
    <w:rsid w:val="000444FF"/>
    <w:rsid w:val="000C1860"/>
    <w:rsid w:val="0012791F"/>
    <w:rsid w:val="00174364"/>
    <w:rsid w:val="00300228"/>
    <w:rsid w:val="003378C2"/>
    <w:rsid w:val="00433336"/>
    <w:rsid w:val="00473993"/>
    <w:rsid w:val="004755F0"/>
    <w:rsid w:val="0050266C"/>
    <w:rsid w:val="00590C6D"/>
    <w:rsid w:val="005B7DE7"/>
    <w:rsid w:val="005C6BF2"/>
    <w:rsid w:val="006251E9"/>
    <w:rsid w:val="006A3A32"/>
    <w:rsid w:val="006F3E3A"/>
    <w:rsid w:val="00724651"/>
    <w:rsid w:val="00747AB1"/>
    <w:rsid w:val="008417D7"/>
    <w:rsid w:val="0085307F"/>
    <w:rsid w:val="00862956"/>
    <w:rsid w:val="008B0AE4"/>
    <w:rsid w:val="00900DC8"/>
    <w:rsid w:val="00906708"/>
    <w:rsid w:val="00982C22"/>
    <w:rsid w:val="009F13CB"/>
    <w:rsid w:val="009F36F6"/>
    <w:rsid w:val="00A503C9"/>
    <w:rsid w:val="00B00C0E"/>
    <w:rsid w:val="00B90341"/>
    <w:rsid w:val="00BC495C"/>
    <w:rsid w:val="00CD7040"/>
    <w:rsid w:val="00D32B80"/>
    <w:rsid w:val="00E36986"/>
    <w:rsid w:val="00E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CBEA"/>
  <w15:docId w15:val="{796C7346-3879-4C10-83D2-36606632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24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client8</dc:creator>
  <cp:lastModifiedBy>admin</cp:lastModifiedBy>
  <cp:revision>22</cp:revision>
  <cp:lastPrinted>2020-05-27T17:19:00Z</cp:lastPrinted>
  <dcterms:created xsi:type="dcterms:W3CDTF">2020-05-21T04:31:00Z</dcterms:created>
  <dcterms:modified xsi:type="dcterms:W3CDTF">2020-05-27T18:18:00Z</dcterms:modified>
</cp:coreProperties>
</file>